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807B02" w:rsidRDefault="00807B02" w:rsidP="00B976C5">
      <w:pPr>
        <w:spacing w:after="0" w:line="360" w:lineRule="auto"/>
        <w:jc w:val="both"/>
        <w:rPr>
          <w:rFonts w:ascii="Palatino Linotype" w:hAnsi="Palatino Linotype"/>
          <w:b/>
          <w:sz w:val="24"/>
          <w:szCs w:val="24"/>
        </w:rPr>
      </w:pPr>
      <w:r w:rsidRPr="00B71BFC">
        <w:rPr>
          <w:rFonts w:ascii="Palatino Linotype" w:hAnsi="Palatino Linotype"/>
          <w:b/>
          <w:sz w:val="24"/>
          <w:szCs w:val="24"/>
        </w:rPr>
        <w:t xml:space="preserve">VOTO PARTICULAR </w:t>
      </w:r>
      <w:r w:rsidR="00C11623">
        <w:rPr>
          <w:rFonts w:ascii="Palatino Linotype" w:hAnsi="Palatino Linotype"/>
          <w:b/>
          <w:sz w:val="24"/>
          <w:szCs w:val="24"/>
        </w:rPr>
        <w:t>QUE FORMULA</w:t>
      </w:r>
      <w:r w:rsidRPr="00B71BFC">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Pr>
          <w:rFonts w:ascii="Palatino Linotype" w:hAnsi="Palatino Linotype"/>
          <w:b/>
          <w:sz w:val="24"/>
          <w:szCs w:val="24"/>
        </w:rPr>
        <w:t xml:space="preserve">ÉXICO Y </w:t>
      </w:r>
      <w:r w:rsidR="00DA1378">
        <w:rPr>
          <w:rFonts w:ascii="Palatino Linotype" w:hAnsi="Palatino Linotype"/>
          <w:b/>
          <w:sz w:val="24"/>
          <w:szCs w:val="24"/>
        </w:rPr>
        <w:t>MUNICIPIOS, EN LA NOVENA</w:t>
      </w:r>
      <w:r w:rsidRPr="00B71BFC">
        <w:rPr>
          <w:rFonts w:ascii="Palatino Linotype" w:hAnsi="Palatino Linotype"/>
          <w:b/>
          <w:sz w:val="24"/>
          <w:szCs w:val="24"/>
        </w:rPr>
        <w:t xml:space="preserve"> SESIÓN </w:t>
      </w:r>
      <w:r w:rsidRPr="00563D0F">
        <w:rPr>
          <w:rFonts w:ascii="Palatino Linotype" w:hAnsi="Palatino Linotype"/>
          <w:b/>
          <w:sz w:val="24"/>
          <w:szCs w:val="24"/>
        </w:rPr>
        <w:t>DE</w:t>
      </w:r>
      <w:r>
        <w:rPr>
          <w:rFonts w:ascii="Palatino Linotype" w:hAnsi="Palatino Linotype"/>
          <w:b/>
          <w:sz w:val="24"/>
          <w:szCs w:val="24"/>
        </w:rPr>
        <w:t>L</w:t>
      </w:r>
      <w:r w:rsidR="009961C1">
        <w:rPr>
          <w:rFonts w:ascii="Palatino Linotype" w:hAnsi="Palatino Linotype"/>
          <w:b/>
          <w:sz w:val="24"/>
          <w:szCs w:val="24"/>
        </w:rPr>
        <w:t xml:space="preserve"> ONCE DE MARZI</w:t>
      </w:r>
      <w:r w:rsidR="00320BAF">
        <w:rPr>
          <w:rFonts w:ascii="Palatino Linotype" w:hAnsi="Palatino Linotype"/>
          <w:b/>
          <w:sz w:val="24"/>
          <w:szCs w:val="24"/>
        </w:rPr>
        <w:t xml:space="preserve"> DOS MIL 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sidR="00DA1378">
        <w:rPr>
          <w:rFonts w:ascii="Palatino Linotype" w:hAnsi="Palatino Linotype"/>
          <w:b/>
          <w:sz w:val="24"/>
          <w:szCs w:val="24"/>
        </w:rPr>
        <w:t>04652</w:t>
      </w:r>
      <w:r w:rsidR="00320BAF" w:rsidRPr="00320BAF">
        <w:rPr>
          <w:rFonts w:ascii="Palatino Linotype" w:hAnsi="Palatino Linotype"/>
          <w:b/>
          <w:sz w:val="24"/>
          <w:szCs w:val="24"/>
        </w:rPr>
        <w:t>/INFOEM/IP/RR/2018</w:t>
      </w:r>
      <w:r>
        <w:rPr>
          <w:rFonts w:ascii="Palatino Linotype" w:hAnsi="Palatino Linotype"/>
          <w:b/>
          <w:sz w:val="24"/>
          <w:szCs w:val="24"/>
        </w:rPr>
        <w:t>.</w:t>
      </w:r>
    </w:p>
    <w:p w:rsidR="00B976C5" w:rsidRDefault="00B976C5" w:rsidP="00574532">
      <w:pPr>
        <w:spacing w:after="0" w:line="360" w:lineRule="auto"/>
        <w:jc w:val="both"/>
        <w:rPr>
          <w:rFonts w:ascii="Palatino Linotype" w:hAnsi="Palatino Linotype"/>
          <w:sz w:val="24"/>
          <w:szCs w:val="24"/>
        </w:rPr>
      </w:pPr>
    </w:p>
    <w:p w:rsidR="00232C29" w:rsidRPr="00B976C5" w:rsidRDefault="000607BA" w:rsidP="00B976C5">
      <w:pPr>
        <w:spacing w:after="0" w:line="360" w:lineRule="auto"/>
        <w:jc w:val="both"/>
        <w:rPr>
          <w:rFonts w:ascii="Palatino Linotype" w:hAnsi="Palatino Linotype"/>
          <w:sz w:val="24"/>
          <w:szCs w:val="24"/>
        </w:rPr>
      </w:pPr>
      <w:r w:rsidRPr="00FF219F">
        <w:rPr>
          <w:rFonts w:ascii="Palatino Linotype" w:hAnsi="Palatino Linotype"/>
          <w:sz w:val="24"/>
          <w:szCs w:val="24"/>
        </w:rPr>
        <w:t>Con fundamento en lo</w:t>
      </w:r>
      <w:r w:rsidRPr="00807B02">
        <w:rPr>
          <w:rFonts w:ascii="Palatino Linotype" w:hAnsi="Palatino Linotype"/>
          <w:sz w:val="24"/>
          <w:szCs w:val="24"/>
        </w:rPr>
        <w:t xml:space="preserve"> dispuesto por el </w:t>
      </w:r>
      <w:r w:rsidR="00347C52" w:rsidRPr="00807B02">
        <w:rPr>
          <w:rFonts w:ascii="Palatino Linotype" w:hAnsi="Palatino Linotype"/>
          <w:sz w:val="24"/>
          <w:szCs w:val="24"/>
        </w:rPr>
        <w:t>artículo 14, fracciones X y XI, del Reglamento del Instituto de Transparencia, Acceso a</w:t>
      </w:r>
      <w:bookmarkStart w:id="0" w:name="_GoBack"/>
      <w:bookmarkEnd w:id="0"/>
      <w:r w:rsidR="00347C52" w:rsidRPr="00807B02">
        <w:rPr>
          <w:rFonts w:ascii="Palatino Linotype" w:hAnsi="Palatino Linotype"/>
          <w:sz w:val="24"/>
          <w:szCs w:val="24"/>
        </w:rPr>
        <w:t xml:space="preserve"> la Información Pública y Protección de Datos Personales del Estado de México</w:t>
      </w:r>
      <w:r w:rsidRPr="00807B02">
        <w:rPr>
          <w:rFonts w:ascii="Palatino Linotype" w:hAnsi="Palatino Linotype"/>
          <w:sz w:val="24"/>
          <w:szCs w:val="24"/>
        </w:rPr>
        <w:t xml:space="preserve">, </w:t>
      </w:r>
      <w:r w:rsidR="00C11623">
        <w:rPr>
          <w:rFonts w:ascii="Palatino Linotype" w:hAnsi="Palatino Linotype"/>
          <w:sz w:val="24"/>
          <w:szCs w:val="24"/>
        </w:rPr>
        <w:t>el Comisionado</w:t>
      </w:r>
      <w:r w:rsidR="00807B02" w:rsidRPr="00807B02">
        <w:rPr>
          <w:rFonts w:ascii="Palatino Linotype" w:hAnsi="Palatino Linotype"/>
          <w:sz w:val="24"/>
          <w:szCs w:val="24"/>
        </w:rPr>
        <w:t xml:space="preserve"> Javier Martíne</w:t>
      </w:r>
      <w:r w:rsidR="00C11623">
        <w:rPr>
          <w:rFonts w:ascii="Palatino Linotype" w:hAnsi="Palatino Linotype"/>
          <w:sz w:val="24"/>
          <w:szCs w:val="24"/>
        </w:rPr>
        <w:t xml:space="preserve">z Cruz emite VOTO PARTICULAR </w:t>
      </w:r>
      <w:r w:rsidR="00807B02" w:rsidRPr="00807B02">
        <w:rPr>
          <w:rFonts w:ascii="Palatino Linotype" w:hAnsi="Palatino Linotype"/>
          <w:sz w:val="24"/>
          <w:szCs w:val="24"/>
        </w:rPr>
        <w:t xml:space="preserve">respecto a la resolución dictada en el recurso de revisión número </w:t>
      </w:r>
      <w:r w:rsidR="00EB1C39">
        <w:rPr>
          <w:rFonts w:ascii="Palatino Linotype" w:hAnsi="Palatino Linotype"/>
          <w:sz w:val="24"/>
          <w:szCs w:val="24"/>
        </w:rPr>
        <w:t>04652</w:t>
      </w:r>
      <w:r w:rsidR="0011440C" w:rsidRPr="0011440C">
        <w:rPr>
          <w:rFonts w:ascii="Palatino Linotype" w:hAnsi="Palatino Linotype"/>
          <w:sz w:val="24"/>
          <w:szCs w:val="24"/>
        </w:rPr>
        <w:t>/INFOEM/IP/RR/2018</w:t>
      </w:r>
      <w:r w:rsidR="00807B02" w:rsidRPr="00807B02">
        <w:rPr>
          <w:rFonts w:ascii="Palatino Linotype" w:hAnsi="Palatino Linotype"/>
          <w:sz w:val="24"/>
          <w:szCs w:val="24"/>
        </w:rPr>
        <w:t>, pronunciada por el Pleno de este Instituto an</w:t>
      </w:r>
      <w:r w:rsidR="00C11623">
        <w:rPr>
          <w:rFonts w:ascii="Palatino Linotype" w:hAnsi="Palatino Linotype"/>
          <w:sz w:val="24"/>
          <w:szCs w:val="24"/>
        </w:rPr>
        <w:t xml:space="preserve">te el proyecto presentado por la </w:t>
      </w:r>
      <w:r w:rsidR="00807B02" w:rsidRPr="00807B02">
        <w:rPr>
          <w:rFonts w:ascii="Palatino Linotype" w:hAnsi="Palatino Linotype"/>
          <w:sz w:val="24"/>
          <w:szCs w:val="24"/>
        </w:rPr>
        <w:t xml:space="preserve"> Comisionad</w:t>
      </w:r>
      <w:r w:rsidR="00C11623">
        <w:rPr>
          <w:rFonts w:ascii="Palatino Linotype" w:hAnsi="Palatino Linotype"/>
          <w:sz w:val="24"/>
          <w:szCs w:val="24"/>
        </w:rPr>
        <w:t>a</w:t>
      </w:r>
      <w:r w:rsidR="00807B02" w:rsidRPr="00807B02">
        <w:rPr>
          <w:rFonts w:ascii="Palatino Linotype" w:hAnsi="Palatino Linotype"/>
          <w:sz w:val="24"/>
          <w:szCs w:val="24"/>
        </w:rPr>
        <w:t xml:space="preserve"> </w:t>
      </w:r>
      <w:r w:rsidR="00EB1C39">
        <w:rPr>
          <w:rFonts w:ascii="Palatino Linotype" w:hAnsi="Palatino Linotype"/>
          <w:b/>
          <w:lang w:val="es-ES_tradnl"/>
        </w:rPr>
        <w:t>Eva Abaid Yapur</w:t>
      </w:r>
      <w:r w:rsidR="00807B02" w:rsidRPr="00807B02">
        <w:rPr>
          <w:rFonts w:ascii="Palatino Linotype" w:hAnsi="Palatino Linotype"/>
          <w:sz w:val="24"/>
          <w:szCs w:val="24"/>
        </w:rPr>
        <w:t xml:space="preserve">, que es del </w:t>
      </w:r>
      <w:r w:rsidR="00807B02" w:rsidRPr="00C11623">
        <w:rPr>
          <w:rFonts w:ascii="Palatino Linotype" w:hAnsi="Palatino Linotype"/>
          <w:sz w:val="24"/>
          <w:szCs w:val="24"/>
        </w:rPr>
        <w:t xml:space="preserve">tenor siguiente: </w:t>
      </w:r>
    </w:p>
    <w:p w:rsidR="00232C29" w:rsidRDefault="00232C29" w:rsidP="00C11623">
      <w:pPr>
        <w:spacing w:before="120" w:after="120" w:line="360" w:lineRule="auto"/>
        <w:jc w:val="both"/>
        <w:rPr>
          <w:rFonts w:ascii="Palatino Linotype" w:hAnsi="Palatino Linotype"/>
        </w:rPr>
      </w:pPr>
    </w:p>
    <w:p w:rsidR="00B976C5" w:rsidRPr="00C2534B" w:rsidRDefault="00B976C5" w:rsidP="00C11623">
      <w:pPr>
        <w:spacing w:before="120" w:after="120" w:line="360" w:lineRule="auto"/>
        <w:jc w:val="both"/>
        <w:rPr>
          <w:rFonts w:ascii="Palatino Linotype" w:hAnsi="Palatino Linotype"/>
          <w:sz w:val="24"/>
          <w:szCs w:val="24"/>
        </w:rPr>
      </w:pPr>
      <w:r w:rsidRPr="00C2534B">
        <w:rPr>
          <w:rFonts w:ascii="Palatino Linotype" w:hAnsi="Palatino Linotype"/>
          <w:sz w:val="24"/>
          <w:szCs w:val="24"/>
        </w:rPr>
        <w:t xml:space="preserve">De manera previa a la emisión del presente voto, cabe precisar  </w:t>
      </w:r>
      <w:r w:rsidR="00EB1C39">
        <w:rPr>
          <w:rFonts w:ascii="Palatino Linotype" w:hAnsi="Palatino Linotype"/>
          <w:sz w:val="24"/>
          <w:szCs w:val="24"/>
        </w:rPr>
        <w:t>que la materia en que  radico el recurso</w:t>
      </w:r>
      <w:r w:rsidRPr="00C2534B">
        <w:rPr>
          <w:rFonts w:ascii="Palatino Linotype" w:hAnsi="Palatino Linotype"/>
          <w:sz w:val="24"/>
          <w:szCs w:val="24"/>
        </w:rPr>
        <w:t xml:space="preserve"> de revisión, lo fue en que se proporcionaran la </w:t>
      </w:r>
      <w:r w:rsidR="007F0307" w:rsidRPr="00C2534B">
        <w:rPr>
          <w:rFonts w:ascii="Palatino Linotype" w:hAnsi="Palatino Linotype"/>
          <w:sz w:val="24"/>
          <w:szCs w:val="24"/>
        </w:rPr>
        <w:t>documentación</w:t>
      </w:r>
      <w:r w:rsidRPr="00C2534B">
        <w:rPr>
          <w:rFonts w:ascii="Palatino Linotype" w:hAnsi="Palatino Linotype"/>
          <w:sz w:val="24"/>
          <w:szCs w:val="24"/>
        </w:rPr>
        <w:t xml:space="preserve"> solicitada </w:t>
      </w:r>
      <w:r w:rsidR="005C2E7F" w:rsidRPr="00C2534B">
        <w:rPr>
          <w:rFonts w:ascii="Palatino Linotype" w:hAnsi="Palatino Linotype"/>
          <w:sz w:val="24"/>
          <w:szCs w:val="24"/>
        </w:rPr>
        <w:t>a través del SAIMEX</w:t>
      </w:r>
      <w:r w:rsidRPr="00C2534B">
        <w:rPr>
          <w:rFonts w:ascii="Palatino Linotype" w:hAnsi="Palatino Linotype"/>
          <w:sz w:val="24"/>
          <w:szCs w:val="24"/>
        </w:rPr>
        <w:t>:</w:t>
      </w:r>
    </w:p>
    <w:p w:rsidR="005C2E7F" w:rsidRPr="00C2534B" w:rsidRDefault="005C2E7F" w:rsidP="005C2E7F">
      <w:pPr>
        <w:ind w:left="851" w:right="850"/>
        <w:jc w:val="both"/>
        <w:rPr>
          <w:rFonts w:ascii="Palatino Linotype" w:eastAsia="Times New Roman" w:hAnsi="Palatino Linotype" w:cs="Times New Roman"/>
          <w:i/>
          <w:sz w:val="24"/>
          <w:szCs w:val="24"/>
          <w:lang w:val="es-ES_tradnl" w:eastAsia="es-ES"/>
        </w:rPr>
      </w:pPr>
      <w:r w:rsidRPr="00C2534B">
        <w:rPr>
          <w:rFonts w:ascii="Palatino Linotype" w:eastAsia="Times New Roman" w:hAnsi="Palatino Linotype" w:cs="Times New Roman"/>
          <w:i/>
          <w:sz w:val="24"/>
          <w:szCs w:val="24"/>
          <w:lang w:val="es-ES_tradnl" w:eastAsia="es-ES"/>
        </w:rPr>
        <w:t>“</w:t>
      </w:r>
      <w:r w:rsidR="00ED555C" w:rsidRPr="00ED555C">
        <w:rPr>
          <w:rFonts w:ascii="Palatino Linotype" w:hAnsi="Palatino Linotype"/>
          <w:i/>
          <w:color w:val="000000"/>
          <w:sz w:val="24"/>
          <w:szCs w:val="24"/>
        </w:rPr>
        <w:t>Histórico de aportaciones recibidas por sus agremiados a través del descuento correspondiente para el Sindicato Institucional, señalando monto retenido a cada trabajador durante el período de tiempo que se hace referencia” (Sic)</w:t>
      </w:r>
      <w:r w:rsidRPr="00C2534B">
        <w:rPr>
          <w:rFonts w:ascii="Palatino Linotype" w:hAnsi="Palatino Linotype"/>
          <w:i/>
          <w:color w:val="000000"/>
          <w:sz w:val="24"/>
          <w:szCs w:val="24"/>
        </w:rPr>
        <w:t>.</w:t>
      </w:r>
      <w:r w:rsidR="00ED555C">
        <w:rPr>
          <w:rFonts w:ascii="Palatino Linotype" w:eastAsia="Times New Roman" w:hAnsi="Palatino Linotype" w:cs="Times New Roman"/>
          <w:i/>
          <w:sz w:val="24"/>
          <w:szCs w:val="24"/>
          <w:lang w:val="es-ES_tradnl" w:eastAsia="es-ES"/>
        </w:rPr>
        <w:t xml:space="preserve">” </w:t>
      </w:r>
    </w:p>
    <w:p w:rsidR="00682D39" w:rsidRPr="00926714" w:rsidRDefault="00682D39" w:rsidP="00682D3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926714">
        <w:rPr>
          <w:rFonts w:ascii="Palatino Linotype" w:hAnsi="Palatino Linotype" w:cs="Arial"/>
        </w:rPr>
        <w:lastRenderedPageBreak/>
        <w:t xml:space="preserve">En respuesta a la solicitud de acceso a la información pública, </w:t>
      </w:r>
      <w:r w:rsidRPr="00926714">
        <w:rPr>
          <w:rFonts w:ascii="Palatino Linotype" w:hAnsi="Palatino Linotype" w:cs="Arial"/>
          <w:b/>
        </w:rPr>
        <w:t>EL</w:t>
      </w:r>
      <w:r w:rsidRPr="00926714">
        <w:rPr>
          <w:rFonts w:ascii="Palatino Linotype" w:hAnsi="Palatino Linotype" w:cs="Arial"/>
        </w:rPr>
        <w:t xml:space="preserve"> </w:t>
      </w:r>
      <w:r w:rsidRPr="00926714">
        <w:rPr>
          <w:rFonts w:ascii="Palatino Linotype" w:hAnsi="Palatino Linotype" w:cs="Arial"/>
          <w:b/>
        </w:rPr>
        <w:t>SUJETO OBLIGADO</w:t>
      </w:r>
      <w:r w:rsidRPr="00926714">
        <w:rPr>
          <w:rFonts w:ascii="Palatino Linotype" w:hAnsi="Palatino Linotype" w:cs="Arial"/>
        </w:rPr>
        <w:t>, a través del</w:t>
      </w:r>
      <w:r w:rsidRPr="00926714">
        <w:rPr>
          <w:rFonts w:ascii="Palatino Linotype" w:hAnsi="Palatino Linotype"/>
        </w:rPr>
        <w:t xml:space="preserve"> Encargado del Departamento de Recursos Financieros, en su carácter de Servidor Público Habilitado competente, señaló que tras realizar búsqueda exhaustiva y razonable dentro de dicha Unidad Administrativa, </w:t>
      </w:r>
      <w:r w:rsidRPr="00926714">
        <w:rPr>
          <w:rFonts w:ascii="Palatino Linotype" w:hAnsi="Palatino Linotype"/>
          <w:b/>
          <w:u w:val="single"/>
        </w:rPr>
        <w:t>no generó ni posee</w:t>
      </w:r>
      <w:r w:rsidRPr="00926714">
        <w:rPr>
          <w:rFonts w:ascii="Palatino Linotype" w:hAnsi="Palatino Linotype"/>
        </w:rPr>
        <w:t xml:space="preserve"> información donde conste el “</w:t>
      </w:r>
      <w:r w:rsidRPr="00926714">
        <w:rPr>
          <w:rFonts w:ascii="Palatino Linotype" w:hAnsi="Palatino Linotype"/>
          <w:i/>
        </w:rPr>
        <w:t>histórico de aportaciones recibidas por sus agremiados a través del descuento correspondiente para el Sindicato Institucional, señalando monto retenido a cada trabajador durante el periodo de tiempo que se hace referencia”</w:t>
      </w:r>
      <w:r w:rsidRPr="00926714">
        <w:rPr>
          <w:rFonts w:ascii="Palatino Linotype" w:hAnsi="Palatino Linotype"/>
        </w:rPr>
        <w:t>.</w:t>
      </w:r>
    </w:p>
    <w:p w:rsidR="00682D39" w:rsidRDefault="00682D39" w:rsidP="00682D3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rsidR="00682D39" w:rsidRPr="00926714" w:rsidRDefault="00682D39" w:rsidP="00682D3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926714">
        <w:rPr>
          <w:rFonts w:ascii="Palatino Linotype" w:hAnsi="Palatino Linotype" w:cs="Arial"/>
        </w:rPr>
        <w:t xml:space="preserve">Por su parte, </w:t>
      </w:r>
      <w:r w:rsidRPr="00926714">
        <w:rPr>
          <w:rFonts w:ascii="Palatino Linotype" w:hAnsi="Palatino Linotype"/>
        </w:rPr>
        <w:t xml:space="preserve">la Jefa de Departamento de Recursos Humanos y Materiales, en su carácter de Servidor Público Habilitado, indicó </w:t>
      </w:r>
      <w:r w:rsidRPr="00926714">
        <w:rPr>
          <w:rFonts w:ascii="Palatino Linotype" w:hAnsi="Palatino Linotype" w:cs="Arial"/>
        </w:rPr>
        <w:t>que derivado de la búsqueda exhaustiva y razonable en los archivos de dicha Unidad Administrativa, comunicaba lo siguiente:</w:t>
      </w:r>
    </w:p>
    <w:p w:rsidR="00682D39" w:rsidRPr="00926714" w:rsidRDefault="00682D39" w:rsidP="00682D39">
      <w:pPr>
        <w:pStyle w:val="Prrafodelista"/>
        <w:numPr>
          <w:ilvl w:val="0"/>
          <w:numId w:val="2"/>
        </w:numPr>
        <w:spacing w:before="300" w:after="300" w:line="360" w:lineRule="auto"/>
        <w:ind w:left="357" w:hanging="357"/>
        <w:contextualSpacing w:val="0"/>
        <w:jc w:val="both"/>
        <w:rPr>
          <w:rFonts w:ascii="Palatino Linotype" w:hAnsi="Palatino Linotype"/>
          <w:bCs/>
        </w:rPr>
      </w:pPr>
      <w:r w:rsidRPr="00926714">
        <w:rPr>
          <w:rFonts w:ascii="Palatino Linotype" w:hAnsi="Palatino Linotype"/>
        </w:rPr>
        <w:t xml:space="preserve">Respecto del “… </w:t>
      </w:r>
      <w:r w:rsidRPr="00926714">
        <w:rPr>
          <w:rFonts w:ascii="Palatino Linotype" w:hAnsi="Palatino Linotype"/>
          <w:b/>
          <w:bCs/>
          <w:i/>
        </w:rPr>
        <w:t>Histórico de aportaciones recibidas por sus agremiados a través del descuento correspondiente para el Sindicato Institucional</w:t>
      </w:r>
      <w:r w:rsidRPr="00926714">
        <w:rPr>
          <w:rFonts w:ascii="Palatino Linotype" w:hAnsi="Palatino Linotype"/>
          <w:bCs/>
          <w:i/>
        </w:rPr>
        <w:t xml:space="preserve"> ...</w:t>
      </w:r>
      <w:r w:rsidRPr="00926714">
        <w:rPr>
          <w:rFonts w:ascii="Palatino Linotype" w:hAnsi="Palatino Linotype"/>
          <w:bCs/>
        </w:rPr>
        <w:t xml:space="preserve">”, que el </w:t>
      </w:r>
      <w:r w:rsidRPr="00926714">
        <w:rPr>
          <w:rFonts w:ascii="Palatino Linotype" w:hAnsi="Palatino Linotype"/>
        </w:rPr>
        <w:t>Departamento de Recursos Humanos y Materiales,</w:t>
      </w:r>
      <w:r w:rsidRPr="00926714">
        <w:rPr>
          <w:rFonts w:ascii="Palatino Linotype" w:hAnsi="Palatino Linotype"/>
          <w:bCs/>
        </w:rPr>
        <w:t xml:space="preserve"> no genera ni posee un documento en donde conste el histórico de </w:t>
      </w:r>
      <w:r w:rsidRPr="00926714">
        <w:rPr>
          <w:rFonts w:ascii="Palatino Linotype" w:hAnsi="Palatino Linotype"/>
          <w:b/>
          <w:bCs/>
          <w:u w:val="single"/>
        </w:rPr>
        <w:t>aportaciones recibidas de los agremiados</w:t>
      </w:r>
      <w:r w:rsidRPr="00926714">
        <w:rPr>
          <w:rFonts w:ascii="Palatino Linotype" w:hAnsi="Palatino Linotype"/>
          <w:bCs/>
        </w:rPr>
        <w:t xml:space="preserve"> del Sindicato Único de Trabajadores Académicos y Administrativos de Universidad Politécnica del Valle de Toluca.</w:t>
      </w:r>
    </w:p>
    <w:p w:rsidR="00682D39" w:rsidRPr="00926714" w:rsidRDefault="00682D39" w:rsidP="00682D39">
      <w:pPr>
        <w:pStyle w:val="Prrafodelista"/>
        <w:numPr>
          <w:ilvl w:val="0"/>
          <w:numId w:val="2"/>
        </w:numPr>
        <w:spacing w:before="300" w:after="300" w:line="360" w:lineRule="auto"/>
        <w:contextualSpacing w:val="0"/>
        <w:jc w:val="both"/>
        <w:rPr>
          <w:rFonts w:ascii="Palatino Linotype" w:hAnsi="Palatino Linotype"/>
        </w:rPr>
      </w:pPr>
      <w:r w:rsidRPr="00926714">
        <w:rPr>
          <w:rFonts w:ascii="Palatino Linotype" w:hAnsi="Palatino Linotype"/>
        </w:rPr>
        <w:t xml:space="preserve">Con relación al “… </w:t>
      </w:r>
      <w:r w:rsidRPr="00926714">
        <w:rPr>
          <w:rFonts w:ascii="Palatino Linotype" w:hAnsi="Palatino Linotype"/>
          <w:b/>
          <w:i/>
        </w:rPr>
        <w:t>monto retenido a cada trabajador durante el período de tiempo que se hace referencia</w:t>
      </w:r>
      <w:r w:rsidRPr="00926714">
        <w:rPr>
          <w:rFonts w:ascii="Palatino Linotype" w:hAnsi="Palatino Linotype"/>
        </w:rPr>
        <w:t xml:space="preserve"> …” que </w:t>
      </w:r>
      <w:r w:rsidRPr="00926714">
        <w:rPr>
          <w:rFonts w:ascii="Palatino Linotype" w:hAnsi="Palatino Linotype"/>
          <w:bCs/>
        </w:rPr>
        <w:t xml:space="preserve">el </w:t>
      </w:r>
      <w:r w:rsidRPr="00926714">
        <w:rPr>
          <w:rFonts w:ascii="Palatino Linotype" w:hAnsi="Palatino Linotype"/>
        </w:rPr>
        <w:t>Departamento de Recursos Humanos y Materiales cuenta con documentos en donde constan los registros de los</w:t>
      </w:r>
      <w:r w:rsidRPr="00926714">
        <w:rPr>
          <w:rFonts w:ascii="Palatino Linotype" w:hAnsi="Palatino Linotype"/>
          <w:b/>
        </w:rPr>
        <w:t xml:space="preserve"> </w:t>
      </w:r>
      <w:r w:rsidRPr="00926714">
        <w:rPr>
          <w:rFonts w:ascii="Palatino Linotype" w:hAnsi="Palatino Linotype"/>
          <w:b/>
          <w:u w:val="single"/>
        </w:rPr>
        <w:t xml:space="preserve">montos </w:t>
      </w:r>
      <w:r w:rsidRPr="00926714">
        <w:rPr>
          <w:rFonts w:ascii="Palatino Linotype" w:hAnsi="Palatino Linotype"/>
          <w:b/>
          <w:u w:val="single"/>
        </w:rPr>
        <w:lastRenderedPageBreak/>
        <w:t>retenidos a cada trabajador que pertenece al Sindicato</w:t>
      </w:r>
      <w:r w:rsidRPr="00926714">
        <w:rPr>
          <w:rFonts w:ascii="Palatino Linotype" w:hAnsi="Palatino Linotype"/>
        </w:rPr>
        <w:t xml:space="preserve"> Único de Trabajadores Académicos y Administrativos de la Universidad Politécnica del Valle de Toluca; sin embargo, es necesario clasificarla, ya que se trata de información confidencial, que identifica a una persona física, conforme al artículo 4, fracción XI, de la Ley de Protección de Datos Personales en Posesión de Sujetos Obligados del Estado de México y Municipios.</w:t>
      </w:r>
      <w:r w:rsidRPr="00926714">
        <w:t xml:space="preserve"> </w:t>
      </w:r>
      <w:r w:rsidRPr="00926714">
        <w:rPr>
          <w:rFonts w:ascii="Palatino Linotype" w:hAnsi="Palatino Linotype"/>
        </w:rPr>
        <w:t>De igual forma, se podría causar algún daño al no garantizar su protección, toda vez que dichos datos se constituyen como atributos de personalidad, de acuerdo a lo establecido en el artículo 2.3 del Código Civil del Estado de México.</w:t>
      </w:r>
    </w:p>
    <w:p w:rsidR="00682D39" w:rsidRPr="00926714" w:rsidRDefault="00682D39" w:rsidP="00682D39">
      <w:pPr>
        <w:pStyle w:val="Prrafodelista"/>
        <w:numPr>
          <w:ilvl w:val="0"/>
          <w:numId w:val="2"/>
        </w:numPr>
        <w:spacing w:before="300" w:after="300" w:line="360" w:lineRule="auto"/>
        <w:contextualSpacing w:val="0"/>
        <w:jc w:val="both"/>
        <w:rPr>
          <w:rFonts w:ascii="Palatino Linotype" w:hAnsi="Palatino Linotype"/>
        </w:rPr>
      </w:pPr>
      <w:r w:rsidRPr="00926714">
        <w:rPr>
          <w:rFonts w:ascii="Palatino Linotype" w:hAnsi="Palatino Linotype"/>
        </w:rPr>
        <w:t>Por lo anterior, deben de ser clasificados en su totalidad como confidencial, los montos retenidos a los trabajadores pertenecientes al Sindicato Único de Trabajadores Académicos y Administrativos de la Universidad Politécnica del Valle de Toluca del periodo de junio de 2013 a octubre de 2018, toda vez que dicho sindicato se constituyó en mayo del 2013 y las aportaciones sindicales de los trabajadores se iniciaron en junio del mismo año.</w:t>
      </w:r>
    </w:p>
    <w:p w:rsidR="00682D39" w:rsidRPr="00926714" w:rsidRDefault="00682D39" w:rsidP="00682D39">
      <w:pPr>
        <w:widowControl w:val="0"/>
        <w:autoSpaceDE w:val="0"/>
        <w:autoSpaceDN w:val="0"/>
        <w:adjustRightInd w:val="0"/>
        <w:spacing w:before="360" w:after="240" w:line="360" w:lineRule="auto"/>
        <w:jc w:val="both"/>
        <w:rPr>
          <w:rFonts w:ascii="Palatino Linotype" w:hAnsi="Palatino Linotype"/>
          <w:szCs w:val="17"/>
          <w:lang w:eastAsia="es-ES_tradnl"/>
        </w:rPr>
      </w:pPr>
      <w:r>
        <w:rPr>
          <w:rFonts w:ascii="Palatino Linotype" w:hAnsi="Palatino Linotype"/>
          <w:sz w:val="24"/>
          <w:szCs w:val="24"/>
        </w:rPr>
        <w:t xml:space="preserve">En este sentido, la ponencia que resolvió al asunto </w:t>
      </w:r>
      <w:r>
        <w:rPr>
          <w:rFonts w:ascii="Palatino Linotype" w:hAnsi="Palatino Linotype"/>
        </w:rPr>
        <w:t>se advirtió</w:t>
      </w:r>
      <w:r w:rsidRPr="00926714">
        <w:rPr>
          <w:rFonts w:ascii="Palatino Linotype" w:hAnsi="Palatino Linotype"/>
        </w:rPr>
        <w:t xml:space="preserve"> que, derivado de la inconformidad de la</w:t>
      </w:r>
      <w:r w:rsidRPr="00926714">
        <w:rPr>
          <w:rFonts w:ascii="Palatino Linotype" w:hAnsi="Palatino Linotype" w:cs="Arial"/>
        </w:rPr>
        <w:t xml:space="preserve"> respuesta que le fue </w:t>
      </w:r>
      <w:r w:rsidRPr="00926714">
        <w:rPr>
          <w:rFonts w:ascii="Palatino Linotype" w:hAnsi="Palatino Linotype" w:cs="Arial"/>
          <w:lang w:val="es-ES_tradnl"/>
        </w:rPr>
        <w:t>otorgada</w:t>
      </w:r>
      <w:r w:rsidRPr="00926714">
        <w:rPr>
          <w:rFonts w:ascii="Palatino Linotype" w:hAnsi="Palatino Linotype" w:cs="Arial"/>
        </w:rPr>
        <w:t xml:space="preserve"> por </w:t>
      </w:r>
      <w:r w:rsidRPr="00926714">
        <w:rPr>
          <w:rFonts w:ascii="Palatino Linotype" w:hAnsi="Palatino Linotype" w:cs="Arial"/>
          <w:b/>
        </w:rPr>
        <w:t>EL</w:t>
      </w:r>
      <w:r w:rsidRPr="00926714">
        <w:rPr>
          <w:rFonts w:ascii="Palatino Linotype" w:hAnsi="Palatino Linotype" w:cs="Arial"/>
        </w:rPr>
        <w:t xml:space="preserve"> </w:t>
      </w:r>
      <w:r w:rsidRPr="00926714">
        <w:rPr>
          <w:rFonts w:ascii="Palatino Linotype" w:hAnsi="Palatino Linotype" w:cs="Arial"/>
          <w:b/>
        </w:rPr>
        <w:t>SUJETO OBLIGADO</w:t>
      </w:r>
      <w:r w:rsidRPr="00926714">
        <w:rPr>
          <w:rFonts w:ascii="Palatino Linotype" w:hAnsi="Palatino Linotype" w:cs="Arial"/>
        </w:rPr>
        <w:t xml:space="preserve">, </w:t>
      </w:r>
      <w:r w:rsidRPr="00926714">
        <w:rPr>
          <w:rFonts w:ascii="Palatino Linotype" w:hAnsi="Palatino Linotype" w:cs="Arial"/>
          <w:b/>
        </w:rPr>
        <w:t>EL RECURRENTE</w:t>
      </w:r>
      <w:r w:rsidRPr="00926714">
        <w:rPr>
          <w:rFonts w:ascii="Palatino Linotype" w:hAnsi="Palatino Linotype" w:cs="Arial"/>
        </w:rPr>
        <w:t xml:space="preserve"> procedió a interponer el presente recurso de revisión, señalando tanto en acto impugnado, como en sus razones o motivos de inconformidad,</w:t>
      </w:r>
      <w:r>
        <w:rPr>
          <w:rFonts w:ascii="Palatino Linotype" w:hAnsi="Palatino Linotype" w:cs="Arial"/>
        </w:rPr>
        <w:t xml:space="preserve"> la negativa a la información peticionada.</w:t>
      </w:r>
    </w:p>
    <w:p w:rsidR="00B976C5" w:rsidRDefault="00DB5208" w:rsidP="00682D39">
      <w:pPr>
        <w:spacing w:before="120" w:after="120" w:line="360" w:lineRule="auto"/>
        <w:jc w:val="both"/>
        <w:rPr>
          <w:rFonts w:ascii="Palatino Linotype" w:hAnsi="Palatino Linotype"/>
          <w:sz w:val="24"/>
          <w:szCs w:val="24"/>
        </w:rPr>
      </w:pPr>
      <w:r>
        <w:rPr>
          <w:rFonts w:ascii="Palatino Linotype" w:hAnsi="Palatino Linotype"/>
          <w:sz w:val="24"/>
          <w:szCs w:val="24"/>
        </w:rPr>
        <w:lastRenderedPageBreak/>
        <w:t>Así, si bien coincido con la ponencia al resolver el requerimiento relacionado con “</w:t>
      </w:r>
      <w:r w:rsidRPr="00DB5208">
        <w:rPr>
          <w:rFonts w:ascii="Palatino Linotype" w:hAnsi="Palatino Linotype" w:cs="Arial"/>
          <w:b/>
          <w:i/>
        </w:rPr>
        <w:t>Montos retenidos a cada trabajador que pertenece al Sindicato</w:t>
      </w:r>
      <w:r w:rsidRPr="00DB5208">
        <w:rPr>
          <w:rFonts w:ascii="Palatino Linotype" w:hAnsi="Palatino Linotype"/>
          <w:i/>
          <w:sz w:val="24"/>
          <w:szCs w:val="24"/>
        </w:rPr>
        <w:t>”</w:t>
      </w:r>
      <w:r w:rsidRPr="00DB5208">
        <w:t xml:space="preserve"> </w:t>
      </w:r>
      <w:r w:rsidRPr="0027488E">
        <w:rPr>
          <w:rFonts w:ascii="Palatino Linotype" w:hAnsi="Palatino Linotype"/>
          <w:b/>
          <w:sz w:val="24"/>
          <w:szCs w:val="24"/>
          <w:u w:val="single"/>
        </w:rPr>
        <w:t>considera procedente determinar la clasificación de la información como confidencial</w:t>
      </w:r>
      <w:r w:rsidRPr="00DB5208">
        <w:rPr>
          <w:rFonts w:ascii="Palatino Linotype" w:hAnsi="Palatino Linotype"/>
          <w:sz w:val="24"/>
          <w:szCs w:val="24"/>
        </w:rPr>
        <w:t>, toda vez que lo requerido se relaciona al patrimonio de una persona pues se trata de las cuotas aportadas por éste, el cual no constituye el ejercicio de recursos públicos.</w:t>
      </w:r>
    </w:p>
    <w:p w:rsidR="0027488E" w:rsidRPr="0027488E" w:rsidRDefault="0027488E" w:rsidP="0027488E">
      <w:pPr>
        <w:spacing w:before="240" w:after="240" w:line="360" w:lineRule="auto"/>
        <w:jc w:val="both"/>
        <w:rPr>
          <w:rFonts w:ascii="Palatino Linotype" w:hAnsi="Palatino Linotype" w:cs="Arial"/>
          <w:sz w:val="23"/>
          <w:szCs w:val="23"/>
        </w:rPr>
      </w:pPr>
      <w:r w:rsidRPr="0027488E">
        <w:rPr>
          <w:rFonts w:ascii="Palatino Linotype" w:hAnsi="Palatino Linotype" w:cs="Arial"/>
          <w:sz w:val="23"/>
          <w:szCs w:val="23"/>
        </w:rPr>
        <w:t>Ante tal situación y a partir de la interpretación</w:t>
      </w:r>
      <w:r w:rsidRPr="0027488E">
        <w:rPr>
          <w:rStyle w:val="Refdenotaalpie"/>
          <w:rFonts w:ascii="Palatino Linotype" w:hAnsi="Palatino Linotype" w:cs="Arial"/>
          <w:sz w:val="23"/>
          <w:szCs w:val="23"/>
        </w:rPr>
        <w:footnoteReference w:id="1"/>
      </w:r>
      <w:r w:rsidRPr="0027488E">
        <w:rPr>
          <w:rFonts w:ascii="Palatino Linotype" w:hAnsi="Palatino Linotype" w:cs="Arial"/>
          <w:sz w:val="23"/>
          <w:szCs w:val="23"/>
        </w:rPr>
        <w:t xml:space="preserve"> a los artículos 159 y 160 de la Ley General de Transparencia y Acceso a la Información Pública que son de la literalidad siguiente:</w:t>
      </w:r>
    </w:p>
    <w:p w:rsidR="0027488E" w:rsidRPr="0027488E" w:rsidRDefault="0027488E" w:rsidP="0027488E">
      <w:pPr>
        <w:ind w:left="851" w:right="902"/>
        <w:jc w:val="both"/>
        <w:rPr>
          <w:rFonts w:ascii="Palatino Linotype" w:hAnsi="Palatino Linotype" w:cs="Arial"/>
          <w:i/>
          <w:sz w:val="21"/>
          <w:szCs w:val="21"/>
        </w:rPr>
      </w:pPr>
      <w:r w:rsidRPr="0027488E">
        <w:rPr>
          <w:rFonts w:ascii="Palatino Linotype" w:hAnsi="Palatino Linotype" w:cs="Arial"/>
          <w:b/>
          <w:i/>
          <w:sz w:val="21"/>
          <w:szCs w:val="21"/>
        </w:rPr>
        <w:t xml:space="preserve">“Artículo 159. </w:t>
      </w:r>
      <w:r w:rsidRPr="0027488E">
        <w:rPr>
          <w:rFonts w:ascii="Palatino Linotype" w:hAnsi="Palatino Linotype" w:cs="Arial"/>
          <w:b/>
          <w:i/>
          <w:sz w:val="21"/>
          <w:szCs w:val="21"/>
          <w:u w:val="single"/>
        </w:rPr>
        <w:t>Tratándose de las resoluciones a los recursos de revisión de los Organismos garantes de las Entidades Federativas, los particulares podrán optar por acudir ante el Instituto</w:t>
      </w:r>
      <w:r w:rsidRPr="0027488E">
        <w:rPr>
          <w:rFonts w:ascii="Palatino Linotype" w:hAnsi="Palatino Linotype" w:cs="Arial"/>
          <w:i/>
          <w:sz w:val="21"/>
          <w:szCs w:val="21"/>
        </w:rPr>
        <w:t xml:space="preserve"> o ante el Poder Judicial de la Federación.”</w:t>
      </w:r>
    </w:p>
    <w:p w:rsidR="0027488E" w:rsidRPr="0027488E" w:rsidRDefault="0027488E" w:rsidP="0027488E">
      <w:pPr>
        <w:ind w:left="851" w:right="902"/>
        <w:jc w:val="both"/>
        <w:rPr>
          <w:rFonts w:ascii="Palatino Linotype" w:hAnsi="Palatino Linotype" w:cs="Arial"/>
          <w:i/>
          <w:sz w:val="21"/>
          <w:szCs w:val="21"/>
        </w:rPr>
      </w:pPr>
      <w:r w:rsidRPr="0027488E">
        <w:rPr>
          <w:rFonts w:ascii="Palatino Linotype" w:hAnsi="Palatino Linotype" w:cs="Arial"/>
          <w:b/>
          <w:i/>
          <w:sz w:val="21"/>
          <w:szCs w:val="21"/>
        </w:rPr>
        <w:t>“Artículo 160.</w:t>
      </w:r>
      <w:r w:rsidRPr="0027488E">
        <w:rPr>
          <w:rFonts w:ascii="Palatino Linotype" w:hAnsi="Palatino Linotype" w:cs="Arial"/>
          <w:i/>
          <w:sz w:val="21"/>
          <w:szCs w:val="21"/>
        </w:rPr>
        <w:t xml:space="preserve"> El recurso de inconformidad procede contra las resoluciones emitidas por los Organismos garantes de las Entidades Federativas que:</w:t>
      </w:r>
    </w:p>
    <w:p w:rsidR="0027488E" w:rsidRPr="0027488E" w:rsidRDefault="0027488E" w:rsidP="0027488E">
      <w:pPr>
        <w:ind w:left="851" w:right="902"/>
        <w:jc w:val="both"/>
        <w:rPr>
          <w:rFonts w:ascii="Palatino Linotype" w:hAnsi="Palatino Linotype" w:cs="Arial"/>
          <w:i/>
          <w:sz w:val="21"/>
          <w:szCs w:val="21"/>
        </w:rPr>
      </w:pPr>
      <w:r w:rsidRPr="0027488E">
        <w:rPr>
          <w:rFonts w:ascii="Palatino Linotype" w:hAnsi="Palatino Linotype" w:cs="Arial"/>
          <w:b/>
          <w:i/>
          <w:sz w:val="21"/>
          <w:szCs w:val="21"/>
        </w:rPr>
        <w:t>I.</w:t>
      </w:r>
      <w:r w:rsidRPr="0027488E">
        <w:rPr>
          <w:rFonts w:ascii="Palatino Linotype" w:hAnsi="Palatino Linotype" w:cs="Arial"/>
          <w:i/>
          <w:sz w:val="21"/>
          <w:szCs w:val="21"/>
        </w:rPr>
        <w:t xml:space="preserve"> </w:t>
      </w:r>
      <w:r w:rsidRPr="0027488E">
        <w:rPr>
          <w:rFonts w:ascii="Palatino Linotype" w:hAnsi="Palatino Linotype" w:cs="Arial"/>
          <w:b/>
          <w:i/>
          <w:sz w:val="21"/>
          <w:szCs w:val="21"/>
        </w:rPr>
        <w:t>Confirmen</w:t>
      </w:r>
      <w:r w:rsidRPr="0027488E">
        <w:rPr>
          <w:rFonts w:ascii="Palatino Linotype" w:hAnsi="Palatino Linotype" w:cs="Arial"/>
          <w:i/>
          <w:sz w:val="21"/>
          <w:szCs w:val="21"/>
        </w:rPr>
        <w:t xml:space="preserve"> o modifiquen </w:t>
      </w:r>
      <w:r w:rsidRPr="0027488E">
        <w:rPr>
          <w:rFonts w:ascii="Palatino Linotype" w:hAnsi="Palatino Linotype" w:cs="Arial"/>
          <w:b/>
          <w:i/>
          <w:sz w:val="21"/>
          <w:szCs w:val="21"/>
        </w:rPr>
        <w:t>la clasificación de la información</w:t>
      </w:r>
      <w:r w:rsidRPr="0027488E">
        <w:rPr>
          <w:rFonts w:ascii="Palatino Linotype" w:hAnsi="Palatino Linotype" w:cs="Arial"/>
          <w:i/>
          <w:sz w:val="21"/>
          <w:szCs w:val="21"/>
        </w:rPr>
        <w:t>, (…)”</w:t>
      </w:r>
    </w:p>
    <w:p w:rsidR="0027488E" w:rsidRPr="0027488E" w:rsidRDefault="0027488E" w:rsidP="0027488E">
      <w:pPr>
        <w:ind w:left="851" w:right="902"/>
        <w:jc w:val="both"/>
        <w:rPr>
          <w:rFonts w:ascii="Palatino Linotype" w:hAnsi="Palatino Linotype" w:cs="Arial"/>
          <w:i/>
          <w:sz w:val="21"/>
          <w:szCs w:val="21"/>
        </w:rPr>
      </w:pPr>
      <w:r w:rsidRPr="0027488E">
        <w:rPr>
          <w:rFonts w:ascii="Palatino Linotype" w:hAnsi="Palatino Linotype" w:cs="Arial"/>
          <w:i/>
          <w:sz w:val="21"/>
          <w:szCs w:val="21"/>
        </w:rPr>
        <w:lastRenderedPageBreak/>
        <w:t>Énfasis añadido.</w:t>
      </w:r>
    </w:p>
    <w:p w:rsidR="0027488E" w:rsidRPr="0027488E" w:rsidRDefault="0027488E" w:rsidP="0027488E">
      <w:pPr>
        <w:spacing w:before="240" w:after="240" w:line="360" w:lineRule="auto"/>
        <w:jc w:val="both"/>
        <w:rPr>
          <w:rFonts w:ascii="Palatino Linotype" w:hAnsi="Palatino Linotype"/>
        </w:rPr>
      </w:pPr>
      <w:r w:rsidRPr="0027488E">
        <w:rPr>
          <w:rFonts w:ascii="Palatino Linotype" w:hAnsi="Palatino Linotype" w:cs="Arial"/>
        </w:rPr>
        <w:t xml:space="preserve">Debió considerarse </w:t>
      </w:r>
      <w:r w:rsidRPr="0027488E">
        <w:rPr>
          <w:rFonts w:ascii="Palatino Linotype" w:hAnsi="Palatino Linotype"/>
        </w:rPr>
        <w:t xml:space="preserve">notificar a la particular que podía acudir ante el Instituto Nacional de Transparencia, Acceso a la Información y Protección de Datos Personales (INAI) o ante el Poder Judicial de la Federación para interponer recurso de inconformidad, </w:t>
      </w:r>
      <w:r w:rsidRPr="0027488E">
        <w:rPr>
          <w:rFonts w:ascii="Palatino Linotype" w:hAnsi="Palatino Linotype" w:cs="Arial"/>
        </w:rPr>
        <w:t>favoreciendo con ello lo previsto en el artículo 1</w:t>
      </w:r>
      <w:r w:rsidRPr="0027488E">
        <w:rPr>
          <w:rStyle w:val="Refdenotaalpie"/>
          <w:rFonts w:ascii="Palatino Linotype" w:hAnsi="Palatino Linotype" w:cs="Arial"/>
        </w:rPr>
        <w:footnoteReference w:id="2"/>
      </w:r>
      <w:r w:rsidRPr="0027488E">
        <w:rPr>
          <w:rFonts w:ascii="Palatino Linotype" w:hAnsi="Palatino Linotype" w:cs="Arial"/>
        </w:rPr>
        <w:t xml:space="preserve"> de la Constitución Política de los Estados Unidos Mexicanos.</w:t>
      </w:r>
    </w:p>
    <w:p w:rsidR="0027488E" w:rsidRPr="0027488E" w:rsidRDefault="0027488E" w:rsidP="0027488E">
      <w:pPr>
        <w:spacing w:before="240" w:after="240" w:line="360" w:lineRule="auto"/>
        <w:jc w:val="both"/>
        <w:rPr>
          <w:rFonts w:ascii="Palatino Linotype" w:hAnsi="Palatino Linotype"/>
        </w:rPr>
      </w:pPr>
      <w:r w:rsidRPr="0027488E">
        <w:rPr>
          <w:rFonts w:ascii="Palatino Linotype" w:hAnsi="Palatino Linotype"/>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rsidR="0027488E" w:rsidRPr="0027488E" w:rsidRDefault="0027488E" w:rsidP="0027488E">
      <w:pPr>
        <w:spacing w:before="240" w:after="240" w:line="360" w:lineRule="auto"/>
        <w:jc w:val="both"/>
        <w:rPr>
          <w:rFonts w:ascii="Palatino Linotype" w:hAnsi="Palatino Linotype"/>
        </w:rPr>
      </w:pPr>
      <w:r w:rsidRPr="0027488E">
        <w:rPr>
          <w:rFonts w:ascii="Palatino Linotype" w:hAnsi="Palatino Linotype"/>
        </w:rPr>
        <w:t>Cabe considerar, que también se podrá presentar por escrito ante este Instituto, instancia que a su vez tiene la obligación de remitirlo al día siguiente de su recepción al Organismo Garante de la Entidad Federativa, acompañado de la resolución impugnada.</w:t>
      </w:r>
    </w:p>
    <w:p w:rsidR="0027488E" w:rsidRPr="0027488E" w:rsidRDefault="0027488E" w:rsidP="0027488E">
      <w:pPr>
        <w:spacing w:before="240" w:after="120" w:line="360" w:lineRule="auto"/>
        <w:jc w:val="both"/>
        <w:rPr>
          <w:rFonts w:ascii="Palatino Linotype" w:hAnsi="Palatino Linotype"/>
        </w:rPr>
      </w:pPr>
      <w:r w:rsidRPr="0027488E">
        <w:rPr>
          <w:rFonts w:ascii="Palatino Linotype" w:hAnsi="Palatino Linotype"/>
        </w:rPr>
        <w:t>Recurso de inconformidad, que deberá contener lo dispuesto en el artículo 162 de la Ley General de referencia, que reza de la siguiente forma:</w:t>
      </w:r>
    </w:p>
    <w:p w:rsidR="0027488E" w:rsidRPr="0027488E" w:rsidRDefault="0027488E" w:rsidP="0027488E">
      <w:pPr>
        <w:ind w:left="851" w:right="902"/>
        <w:jc w:val="both"/>
        <w:rPr>
          <w:rFonts w:ascii="Palatino Linotype" w:hAnsi="Palatino Linotype"/>
          <w:i/>
          <w:sz w:val="20"/>
          <w:szCs w:val="20"/>
        </w:rPr>
      </w:pPr>
      <w:r w:rsidRPr="0027488E">
        <w:rPr>
          <w:rFonts w:ascii="Palatino Linotype" w:hAnsi="Palatino Linotype"/>
          <w:b/>
          <w:i/>
          <w:sz w:val="20"/>
          <w:szCs w:val="20"/>
        </w:rPr>
        <w:t>“Artículo 162.</w:t>
      </w:r>
      <w:r w:rsidRPr="0027488E">
        <w:rPr>
          <w:rFonts w:ascii="Palatino Linotype" w:hAnsi="Palatino Linotype"/>
          <w:i/>
          <w:sz w:val="20"/>
          <w:szCs w:val="20"/>
        </w:rPr>
        <w:t xml:space="preserve"> El recurso de inconformidad deberá contener: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lastRenderedPageBreak/>
        <w:t xml:space="preserve">I. El sujeto obligado ante el cual se presentó la solicitud;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II. El número de la resolución del recurso de revisión de la resolución impugnada;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III. El organismo garante que emitió la resolución que se impugna;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IV. El nombre del inconforme y, en su caso, del tercero interesado, así como las correspondientes direcciones o medios para recibir notificaciones;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V. La fecha en que fue notificada la resolución impugnada;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VI. El acto que se recurre;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VII. Las razones o motivos de la inconformidad, y  </w:t>
      </w:r>
    </w:p>
    <w:p w:rsidR="0027488E" w:rsidRPr="0027488E" w:rsidRDefault="0027488E" w:rsidP="0027488E">
      <w:pPr>
        <w:ind w:left="1134" w:right="902"/>
        <w:jc w:val="both"/>
        <w:rPr>
          <w:rFonts w:ascii="Palatino Linotype" w:hAnsi="Palatino Linotype"/>
          <w:i/>
          <w:sz w:val="20"/>
          <w:szCs w:val="20"/>
        </w:rPr>
      </w:pPr>
      <w:r w:rsidRPr="0027488E">
        <w:rPr>
          <w:rFonts w:ascii="Palatino Linotype" w:hAnsi="Palatino Linotype"/>
          <w:i/>
          <w:sz w:val="20"/>
          <w:szCs w:val="20"/>
        </w:rPr>
        <w:t xml:space="preserve">VIII. La copia de la resolución que se impugna y, en su caso, de la notificación correspondiente.  </w:t>
      </w:r>
    </w:p>
    <w:p w:rsidR="0027488E" w:rsidRPr="0027488E" w:rsidRDefault="0027488E" w:rsidP="0027488E">
      <w:pPr>
        <w:ind w:left="851" w:right="902"/>
        <w:jc w:val="both"/>
        <w:rPr>
          <w:rFonts w:ascii="Palatino Linotype" w:hAnsi="Palatino Linotype"/>
          <w:i/>
          <w:sz w:val="20"/>
          <w:szCs w:val="20"/>
        </w:rPr>
      </w:pPr>
      <w:r w:rsidRPr="0027488E">
        <w:rPr>
          <w:rFonts w:ascii="Palatino Linotype" w:hAnsi="Palatino Linotype"/>
          <w:i/>
          <w:sz w:val="20"/>
          <w:szCs w:val="20"/>
        </w:rPr>
        <w:t>El recurrente podrá anexar las pruebas y demás elementos que considere procedentes someter a consideración del organismo garante.”</w:t>
      </w:r>
    </w:p>
    <w:p w:rsidR="00682D39" w:rsidRPr="0027488E" w:rsidRDefault="0027488E" w:rsidP="0027488E">
      <w:pPr>
        <w:spacing w:before="120" w:after="240" w:line="360" w:lineRule="auto"/>
        <w:jc w:val="both"/>
        <w:rPr>
          <w:rFonts w:ascii="Palatino Linotype" w:hAnsi="Palatino Linotype"/>
        </w:rPr>
      </w:pPr>
      <w:r w:rsidRPr="0027488E">
        <w:rPr>
          <w:rFonts w:ascii="Palatino Linotype" w:hAnsi="Palatino Linotype"/>
        </w:rPr>
        <w:t>Por lo que concluyó diciendo, que a fin de salvaguardar el derecho de acceso a la información del particular, se le debió no</w:t>
      </w:r>
      <w:r>
        <w:rPr>
          <w:rFonts w:ascii="Palatino Linotype" w:hAnsi="Palatino Linotype"/>
        </w:rPr>
        <w:t xml:space="preserve">tificar mediante el resolutivo </w:t>
      </w:r>
      <w:r w:rsidRPr="0027488E">
        <w:rPr>
          <w:rFonts w:ascii="Palatino Linotype" w:hAnsi="Palatino Linotype"/>
        </w:rPr>
        <w:t xml:space="preserve"> que podía interponer recurso de inconformidad ante el Instituto Nacional de Transparencia, Acceso a la Información y Protección de Datos Personales (INAI) con base en lo dispuesto en los artículos 196 de la Ley de Transparencia y Acceso a la Información Pública del Estado de México de México y Municipios, 159 y 160 de la Ley General de Transparencia y Acceso a la Información Pública.</w:t>
      </w:r>
    </w:p>
    <w:p w:rsidR="00C11623" w:rsidRPr="0027488E" w:rsidRDefault="0027488E" w:rsidP="000607BA">
      <w:pPr>
        <w:spacing w:after="0" w:line="360" w:lineRule="auto"/>
        <w:jc w:val="both"/>
        <w:rPr>
          <w:rFonts w:ascii="Palatino Linotype" w:hAnsi="Palatino Linotype" w:cs="Arial"/>
          <w:sz w:val="23"/>
          <w:szCs w:val="23"/>
        </w:rPr>
      </w:pPr>
      <w:r w:rsidRPr="00422884">
        <w:rPr>
          <w:rFonts w:ascii="Palatino Linotype" w:hAnsi="Palatino Linotype"/>
          <w:sz w:val="23"/>
          <w:szCs w:val="23"/>
        </w:rPr>
        <w:t>En mérito de lo precisado con anterioridad</w:t>
      </w:r>
      <w:r w:rsidRPr="00422884">
        <w:rPr>
          <w:rFonts w:ascii="Palatino Linotype" w:hAnsi="Palatino Linotype" w:cs="Arial"/>
          <w:sz w:val="23"/>
          <w:szCs w:val="23"/>
        </w:rPr>
        <w:t xml:space="preserve">, </w:t>
      </w:r>
      <w:r w:rsidRPr="00422884">
        <w:rPr>
          <w:rFonts w:ascii="Palatino Linotype" w:hAnsi="Palatino Linotype"/>
          <w:sz w:val="23"/>
          <w:szCs w:val="23"/>
        </w:rPr>
        <w:t>el suscrito emite el presente voto particular.</w:t>
      </w:r>
    </w:p>
    <w:p w:rsidR="00F13DA6" w:rsidRDefault="00F13DA6" w:rsidP="000607BA">
      <w:pPr>
        <w:spacing w:after="0" w:line="360" w:lineRule="auto"/>
        <w:jc w:val="both"/>
        <w:rPr>
          <w:rFonts w:ascii="Palatino Linotype" w:hAnsi="Palatino Linotype"/>
          <w:sz w:val="24"/>
          <w:szCs w:val="24"/>
        </w:rPr>
      </w:pPr>
    </w:p>
    <w:p w:rsidR="00B71BFC" w:rsidRPr="00B71BFC" w:rsidRDefault="00B71BFC" w:rsidP="00B71BFC">
      <w:pPr>
        <w:spacing w:after="0" w:line="360" w:lineRule="auto"/>
        <w:jc w:val="both"/>
        <w:rPr>
          <w:rFonts w:ascii="Palatino Linotype" w:hAnsi="Palatino Linotype"/>
          <w:sz w:val="24"/>
          <w:szCs w:val="24"/>
        </w:rPr>
      </w:pPr>
    </w:p>
    <w:p w:rsidR="00B71BFC" w:rsidRPr="00B71BFC" w:rsidRDefault="00B71BFC" w:rsidP="00F13DA6">
      <w:pPr>
        <w:spacing w:after="0" w:line="276" w:lineRule="auto"/>
        <w:jc w:val="center"/>
        <w:rPr>
          <w:rFonts w:ascii="Palatino Linotype" w:hAnsi="Palatino Linotype"/>
          <w:b/>
          <w:sz w:val="28"/>
          <w:szCs w:val="28"/>
        </w:rPr>
      </w:pPr>
      <w:r w:rsidRPr="00B71BFC">
        <w:rPr>
          <w:rFonts w:ascii="Palatino Linotype" w:hAnsi="Palatino Linotype"/>
          <w:b/>
          <w:sz w:val="28"/>
          <w:szCs w:val="28"/>
        </w:rPr>
        <w:t xml:space="preserve">Javier Martínez Cruz               </w:t>
      </w:r>
    </w:p>
    <w:p w:rsidR="00BD3823" w:rsidRDefault="00B71BFC" w:rsidP="00F13DA6">
      <w:pPr>
        <w:spacing w:after="0" w:line="276" w:lineRule="auto"/>
        <w:jc w:val="center"/>
        <w:rPr>
          <w:rFonts w:ascii="Palatino Linotype" w:hAnsi="Palatino Linotype"/>
          <w:b/>
          <w:sz w:val="24"/>
          <w:szCs w:val="24"/>
        </w:rPr>
      </w:pPr>
      <w:r w:rsidRPr="00B71BFC">
        <w:rPr>
          <w:rFonts w:ascii="Palatino Linotype" w:hAnsi="Palatino Linotype"/>
          <w:b/>
          <w:sz w:val="24"/>
          <w:szCs w:val="24"/>
        </w:rPr>
        <w:t xml:space="preserve">Comisionado     </w:t>
      </w:r>
    </w:p>
    <w:p w:rsidR="00B71BFC" w:rsidRPr="00D54152" w:rsidRDefault="00BD3823" w:rsidP="00F13DA6">
      <w:pPr>
        <w:spacing w:after="0" w:line="276" w:lineRule="auto"/>
        <w:jc w:val="center"/>
        <w:rPr>
          <w:rFonts w:ascii="Palatino Linotype" w:hAnsi="Palatino Linotype"/>
          <w:b/>
          <w:color w:val="FFFFFF" w:themeColor="background1"/>
          <w:sz w:val="24"/>
          <w:szCs w:val="24"/>
        </w:rPr>
      </w:pPr>
      <w:r w:rsidRPr="00C2534B">
        <w:rPr>
          <w:rFonts w:ascii="Palatino Linotype" w:hAnsi="Palatino Linotype"/>
          <w:b/>
          <w:sz w:val="24"/>
          <w:szCs w:val="24"/>
        </w:rPr>
        <w:t>(Rúbrica)</w:t>
      </w:r>
      <w:r w:rsidR="00B71BFC" w:rsidRPr="00C2534B">
        <w:rPr>
          <w:rFonts w:ascii="Palatino Linotype" w:hAnsi="Palatino Linotype"/>
          <w:b/>
          <w:sz w:val="24"/>
          <w:szCs w:val="24"/>
        </w:rPr>
        <w:t xml:space="preserve">                                         </w:t>
      </w:r>
    </w:p>
    <w:sectPr w:rsidR="00B71BFC" w:rsidRPr="00D54152" w:rsidSect="007F0307">
      <w:headerReference w:type="even" r:id="rId8"/>
      <w:headerReference w:type="default" r:id="rId9"/>
      <w:footerReference w:type="even" r:id="rId10"/>
      <w:footerReference w:type="default" r:id="rId11"/>
      <w:headerReference w:type="firs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7E" w:rsidRDefault="00E51B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61C1">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61C1">
      <w:rPr>
        <w:rFonts w:ascii="Arial" w:hAnsi="Arial" w:cs="Arial"/>
        <w:b/>
        <w:bCs/>
        <w:noProof/>
        <w:sz w:val="20"/>
        <w:szCs w:val="20"/>
      </w:rPr>
      <w:t>6</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 w:id="1">
    <w:p w:rsidR="0027488E" w:rsidRPr="000838C6" w:rsidRDefault="0027488E" w:rsidP="0027488E">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 xml:space="preserve">Cfr. </w:t>
      </w:r>
      <w:r w:rsidRPr="000838C6">
        <w:rPr>
          <w:rFonts w:ascii="Palatino Linotype" w:hAnsi="Palatino Linotype"/>
          <w:sz w:val="16"/>
          <w:szCs w:val="16"/>
        </w:rPr>
        <w:t xml:space="preserve">Tesis Aislada de la Décima Época P. II/2017 (10a.) </w:t>
      </w:r>
      <w:r w:rsidRPr="00845DA4">
        <w:rPr>
          <w:rFonts w:ascii="Palatino Linotype" w:hAnsi="Palatino Linotype"/>
          <w:i/>
          <w:sz w:val="16"/>
          <w:szCs w:val="16"/>
        </w:rPr>
        <w:t>INTERPRETACIÓN CONFORME. SUS ALCANCES EN RELACIÓN CON EL PRINCIPIO DE INTERPRETACIÓN MÁS FAVORABLE A LA PERSONA.</w:t>
      </w:r>
      <w:r>
        <w:rPr>
          <w:rFonts w:ascii="Palatino Linotype" w:hAnsi="Palatino Linotype"/>
          <w:i/>
          <w:sz w:val="16"/>
          <w:szCs w:val="16"/>
        </w:rPr>
        <w:t xml:space="preserve"> </w:t>
      </w:r>
      <w:r w:rsidRPr="00845DA4">
        <w:rPr>
          <w:rFonts w:ascii="Palatino Linotype" w:hAnsi="Palatino Linotype"/>
          <w:i/>
          <w:sz w:val="16"/>
          <w:szCs w:val="16"/>
        </w:rPr>
        <w:t>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w:t>
      </w:r>
      <w:r>
        <w:rPr>
          <w:rFonts w:ascii="Palatino Linotype" w:hAnsi="Palatino Linotype"/>
          <w:i/>
          <w:sz w:val="16"/>
          <w:szCs w:val="16"/>
        </w:rPr>
        <w:t>a y en todo caso a la sociedad.</w:t>
      </w:r>
    </w:p>
  </w:footnote>
  <w:footnote w:id="2">
    <w:p w:rsidR="0027488E" w:rsidRPr="00B02CB0" w:rsidRDefault="0027488E" w:rsidP="0027488E">
      <w:pPr>
        <w:pStyle w:val="Textonotapie"/>
        <w:jc w:val="both"/>
        <w:rPr>
          <w:rFonts w:ascii="Palatino Linotype" w:hAnsi="Palatino Linotype"/>
          <w:i/>
          <w:sz w:val="16"/>
          <w:szCs w:val="16"/>
        </w:rPr>
      </w:pPr>
      <w:r>
        <w:rPr>
          <w:rStyle w:val="Refdenotaalpie"/>
        </w:rPr>
        <w:footnoteRef/>
      </w:r>
      <w:r>
        <w:t xml:space="preserve"> </w:t>
      </w:r>
      <w:r w:rsidRPr="00B02CB0">
        <w:rPr>
          <w:rFonts w:ascii="Palatino Linotype" w:hAnsi="Palatino Linotype"/>
          <w:i/>
          <w:sz w:val="16"/>
          <w:szCs w:val="16"/>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w:t>
      </w:r>
      <w:r>
        <w:rPr>
          <w:rFonts w:ascii="Palatino Linotype" w:hAnsi="Palatino Linotype"/>
          <w:i/>
          <w:sz w:val="16"/>
          <w:szCs w:val="16"/>
        </w:rPr>
        <w:t xml:space="preserve">e esta Constitución establece. </w:t>
      </w:r>
      <w:r w:rsidRPr="00B02CB0">
        <w:rPr>
          <w:rFonts w:ascii="Palatino Linotype" w:hAnsi="Palatino Linotype"/>
          <w:i/>
          <w:sz w:val="16"/>
          <w:szCs w:val="16"/>
        </w:rPr>
        <w:t>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w:t>
      </w:r>
      <w:r>
        <w:rPr>
          <w:rFonts w:ascii="Palatino Linotype" w:hAnsi="Palatino Linotype"/>
          <w:i/>
          <w:sz w:val="16"/>
          <w:szCs w:val="16"/>
        </w:rPr>
        <w:t xml:space="preserve">érminos que establezca la ley. </w:t>
      </w:r>
      <w:r w:rsidRPr="00B02CB0">
        <w:rPr>
          <w:rFonts w:ascii="Palatino Linotype" w:hAnsi="Palatino Linotype"/>
          <w:i/>
          <w:sz w:val="16"/>
          <w:szCs w:val="16"/>
        </w:rPr>
        <w:t>Está prohibida la esclavitud en los Estados Unidos Mexicanos. Los esclavos del extranjero que entren al territorio nacional alcanzarán, por este solo hecho, su libertad</w:t>
      </w:r>
      <w:r>
        <w:rPr>
          <w:rFonts w:ascii="Palatino Linotype" w:hAnsi="Palatino Linotype"/>
          <w:i/>
          <w:sz w:val="16"/>
          <w:szCs w:val="16"/>
        </w:rPr>
        <w:t xml:space="preserve"> y la protección de las leyes. </w:t>
      </w:r>
      <w:r w:rsidRPr="00B02CB0">
        <w:rPr>
          <w:rFonts w:ascii="Palatino Linotype" w:hAnsi="Palatino Linotype"/>
          <w:i/>
          <w:sz w:val="16"/>
          <w:szCs w:val="16"/>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A35F22" w:rsidRDefault="007F0307" w:rsidP="00A35F22">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A35F22">
      <w:rPr>
        <w:rFonts w:ascii="Palatino Linotype" w:hAnsi="Palatino Linotype"/>
        <w:b/>
        <w:sz w:val="22"/>
        <w:szCs w:val="22"/>
        <w:lang w:val="es-ES_tradnl"/>
      </w:rPr>
      <w:t>04652</w:t>
    </w:r>
    <w:r w:rsidR="00572030" w:rsidRPr="00572030">
      <w:rPr>
        <w:rFonts w:ascii="Palatino Linotype" w:hAnsi="Palatino Linotype"/>
        <w:b/>
        <w:sz w:val="22"/>
        <w:szCs w:val="22"/>
        <w:lang w:val="es-ES_tradnl"/>
      </w:rPr>
      <w:t>/INFOEM/IP/RR/2018</w:t>
    </w:r>
  </w:p>
  <w:p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AB52830"/>
    <w:multiLevelType w:val="hybridMultilevel"/>
    <w:tmpl w:val="C58E960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11440C"/>
    <w:rsid w:val="00155046"/>
    <w:rsid w:val="001822F4"/>
    <w:rsid w:val="001A7C78"/>
    <w:rsid w:val="002073F9"/>
    <w:rsid w:val="00215353"/>
    <w:rsid w:val="00232C29"/>
    <w:rsid w:val="002618A9"/>
    <w:rsid w:val="0027488E"/>
    <w:rsid w:val="00292D40"/>
    <w:rsid w:val="002A5ADD"/>
    <w:rsid w:val="002A6359"/>
    <w:rsid w:val="00320BAF"/>
    <w:rsid w:val="00347C52"/>
    <w:rsid w:val="00356493"/>
    <w:rsid w:val="0036408D"/>
    <w:rsid w:val="0036634A"/>
    <w:rsid w:val="003B33CF"/>
    <w:rsid w:val="00456467"/>
    <w:rsid w:val="00503956"/>
    <w:rsid w:val="00505F5A"/>
    <w:rsid w:val="005549ED"/>
    <w:rsid w:val="00572030"/>
    <w:rsid w:val="00574532"/>
    <w:rsid w:val="005777C1"/>
    <w:rsid w:val="005C2E7F"/>
    <w:rsid w:val="005D066B"/>
    <w:rsid w:val="005F4C0C"/>
    <w:rsid w:val="006214D7"/>
    <w:rsid w:val="00675C15"/>
    <w:rsid w:val="00682D39"/>
    <w:rsid w:val="006A6AF4"/>
    <w:rsid w:val="006C34A1"/>
    <w:rsid w:val="006E048C"/>
    <w:rsid w:val="006F1710"/>
    <w:rsid w:val="006F346D"/>
    <w:rsid w:val="007B6EE5"/>
    <w:rsid w:val="007C6C71"/>
    <w:rsid w:val="007F0307"/>
    <w:rsid w:val="00807896"/>
    <w:rsid w:val="00807B02"/>
    <w:rsid w:val="00817AA2"/>
    <w:rsid w:val="00871E3F"/>
    <w:rsid w:val="00883ABB"/>
    <w:rsid w:val="00892DF4"/>
    <w:rsid w:val="00895041"/>
    <w:rsid w:val="00897E24"/>
    <w:rsid w:val="008A4206"/>
    <w:rsid w:val="008E2933"/>
    <w:rsid w:val="00902BEC"/>
    <w:rsid w:val="00907451"/>
    <w:rsid w:val="00921613"/>
    <w:rsid w:val="009338B8"/>
    <w:rsid w:val="00935ABC"/>
    <w:rsid w:val="00956FEF"/>
    <w:rsid w:val="009611D3"/>
    <w:rsid w:val="0098633B"/>
    <w:rsid w:val="009961C1"/>
    <w:rsid w:val="009C6D4B"/>
    <w:rsid w:val="009D4A3C"/>
    <w:rsid w:val="009F4EB8"/>
    <w:rsid w:val="00A01E1E"/>
    <w:rsid w:val="00A1161D"/>
    <w:rsid w:val="00A21005"/>
    <w:rsid w:val="00A35F22"/>
    <w:rsid w:val="00AA53B5"/>
    <w:rsid w:val="00AD0389"/>
    <w:rsid w:val="00AE0F71"/>
    <w:rsid w:val="00B02DEB"/>
    <w:rsid w:val="00B42E5B"/>
    <w:rsid w:val="00B547F4"/>
    <w:rsid w:val="00B64C32"/>
    <w:rsid w:val="00B71BFC"/>
    <w:rsid w:val="00B95ED4"/>
    <w:rsid w:val="00B976C5"/>
    <w:rsid w:val="00BC3F6B"/>
    <w:rsid w:val="00BD3823"/>
    <w:rsid w:val="00BE1582"/>
    <w:rsid w:val="00BE6B5D"/>
    <w:rsid w:val="00C11623"/>
    <w:rsid w:val="00C2534B"/>
    <w:rsid w:val="00C44E15"/>
    <w:rsid w:val="00CB1CEB"/>
    <w:rsid w:val="00CC5CDC"/>
    <w:rsid w:val="00CE45F1"/>
    <w:rsid w:val="00CF29D2"/>
    <w:rsid w:val="00D32E4F"/>
    <w:rsid w:val="00D54152"/>
    <w:rsid w:val="00DA1378"/>
    <w:rsid w:val="00DB5208"/>
    <w:rsid w:val="00DB70E3"/>
    <w:rsid w:val="00DC752B"/>
    <w:rsid w:val="00E20299"/>
    <w:rsid w:val="00E30FFD"/>
    <w:rsid w:val="00E35D2D"/>
    <w:rsid w:val="00E476F0"/>
    <w:rsid w:val="00E51B7E"/>
    <w:rsid w:val="00E920D4"/>
    <w:rsid w:val="00EB1C39"/>
    <w:rsid w:val="00ED555C"/>
    <w:rsid w:val="00F13DA6"/>
    <w:rsid w:val="00F466F2"/>
    <w:rsid w:val="00F76B05"/>
    <w:rsid w:val="00F97255"/>
    <w:rsid w:val="00FD3336"/>
    <w:rsid w:val="00FE653C"/>
    <w:rsid w:val="00FF21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8B9DA419-7427-4E0F-A635-33E6838D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21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B0C81D7-BBB2-440E-9DC7-6FC7E3B2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2019-03-11T18:23:00Z</cp:lastPrinted>
  <dcterms:created xsi:type="dcterms:W3CDTF">2019-03-11T18:09:00Z</dcterms:created>
  <dcterms:modified xsi:type="dcterms:W3CDTF">2019-04-12T15:29:00Z</dcterms:modified>
</cp:coreProperties>
</file>